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rFonts w:ascii="PT Astra Serif" w:hAnsi="PT Astra Serif" w:cs="PT Astra Serif" w:eastAsia="PT Astra Serif"/>
          <w:i/>
          <w:sz w:val="28"/>
          <w:szCs w:val="26"/>
        </w:rPr>
      </w:pPr>
      <w:bookmarkStart w:id="0" w:name="_GoBack"/>
      <w:bookmarkEnd w:id="0"/>
      <w:r>
        <w:rPr>
          <w:rFonts w:ascii="PT Astra Serif" w:hAnsi="PT Astra Serif" w:cs="PT Astra Serif" w:eastAsia="PT Astra Serif"/>
          <w:i/>
          <w:sz w:val="28"/>
          <w:szCs w:val="26"/>
        </w:rPr>
        <w:t xml:space="preserve">ПРОЕКТ</w:t>
      </w:r>
    </w:p>
    <w:p>
      <w:pPr>
        <w:ind w:right="151" w:firstLine="709"/>
        <w:jc w:val="center"/>
        <w:rPr>
          <w:rFonts w:ascii="PT Astra Serif" w:hAnsi="PT Astra Serif" w:cs="PT Astra Serif" w:eastAsia="PT Astra Serif"/>
          <w:b/>
          <w:sz w:val="28"/>
          <w:szCs w:val="26"/>
        </w:rPr>
      </w:pPr>
    </w:p>
    <w:p>
      <w:pPr>
        <w:ind w:right="151" w:firstLine="709"/>
        <w:jc w:val="center"/>
        <w:rPr>
          <w:rFonts w:ascii="PT Astra Serif" w:hAnsi="PT Astra Serif" w:cs="PT Astra Serif" w:eastAsia="PT Astra Serif"/>
          <w:b/>
          <w:sz w:val="28"/>
          <w:szCs w:val="26"/>
        </w:rPr>
      </w:pPr>
      <w:r>
        <w:rPr>
          <w:rFonts w:ascii="PT Astra Serif" w:hAnsi="PT Astra Serif" w:cs="PT Astra Serif" w:eastAsia="PT Astra Serif"/>
          <w:b/>
          <w:sz w:val="28"/>
          <w:szCs w:val="26"/>
        </w:rPr>
        <w:t xml:space="preserve">ПОВЕСТКА</w:t>
      </w:r>
    </w:p>
    <w:p>
      <w:pPr>
        <w:pBdr>
          <w:bottom w:val="single" w:color="auto" w:sz="12" w:space="1"/>
        </w:pBdr>
        <w:jc w:val="center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заочного заседания Комиссии по цифровому развитию, повышению эффективности деятельности органов государственного управления с использованием информационных технологий для улучшения качества и доступности предоставления государственных и муниципальных услуг гражданам и бизнесу Совета по цифровому развитию при Губернаторе Томской области</w:t>
      </w:r>
    </w:p>
    <w:p>
      <w:pPr>
        <w:spacing w:before="120"/>
        <w:ind w:left="4395" w:right="153"/>
        <w:jc w:val="both"/>
        <w:rPr>
          <w:rFonts w:ascii="PT Astra Serif" w:hAnsi="PT Astra Serif" w:cs="PT Astra Serif" w:eastAsia="PT Astra Serif"/>
          <w:color w:val="000000"/>
          <w:sz w:val="28"/>
          <w:szCs w:val="28"/>
        </w:rPr>
      </w:pPr>
      <w:r>
        <w:rPr>
          <w:rFonts w:ascii="PT Astra Serif" w:hAnsi="PT Astra Serif" w:cs="PT Astra Serif" w:eastAsia="PT Astra Serif"/>
          <w:b/>
          <w:color w:val="000000"/>
          <w:sz w:val="28"/>
          <w:szCs w:val="28"/>
        </w:rPr>
        <w:t xml:space="preserve">Дата проведения</w:t>
      </w:r>
      <w:r>
        <w:rPr>
          <w:rFonts w:ascii="PT Astra Serif" w:hAnsi="PT Astra Serif" w:cs="PT Astra Serif" w:eastAsia="PT Astra Serif"/>
          <w:color w:val="000000"/>
          <w:sz w:val="28"/>
          <w:szCs w:val="28"/>
        </w:rPr>
        <w:t xml:space="preserve">: 31 января 2023 года </w:t>
      </w:r>
    </w:p>
    <w:p>
      <w:pPr>
        <w:ind w:firstLine="709"/>
        <w:jc w:val="both"/>
        <w:rPr>
          <w:rFonts w:ascii="PT Astra Serif" w:hAnsi="PT Astra Serif" w:cs="PT Astra Serif" w:eastAsia="PT Astra Serif"/>
          <w:b/>
          <w:sz w:val="28"/>
          <w:szCs w:val="28"/>
        </w:rPr>
      </w:pPr>
    </w:p>
    <w:p>
      <w:pPr>
        <w:ind w:firstLine="709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b/>
          <w:sz w:val="28"/>
          <w:szCs w:val="28"/>
        </w:rPr>
        <w:t xml:space="preserve">ПРЕДСЕДАТЕЛЬ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: Огородова Людмила Михайловна - заместитель Губернатора Томской области по научно-образовательному комплексу </w:t>
      </w:r>
      <w:r>
        <w:rPr>
          <w:rFonts w:ascii="PT Astra Serif" w:hAnsi="PT Astra Serif" w:cs="PT Astra Serif" w:eastAsia="PT Astra Serif"/>
          <w:sz w:val="28"/>
          <w:szCs w:val="28"/>
        </w:rPr>
        <w:br/>
        <w:t xml:space="preserve">и цифровой трансформации</w:t>
      </w:r>
    </w:p>
    <w:p>
      <w:pPr>
        <w:spacing w:after="120"/>
        <w:ind w:firstLine="709"/>
        <w:jc w:val="both"/>
        <w:rPr>
          <w:rFonts w:ascii="PT Astra Serif" w:hAnsi="PT Astra Serif" w:cs="PT Astra Serif" w:eastAsia="PT Astra Serif"/>
          <w:b/>
          <w:sz w:val="28"/>
          <w:szCs w:val="28"/>
        </w:rPr>
      </w:pPr>
    </w:p>
    <w:p>
      <w:pPr>
        <w:spacing w:after="120"/>
        <w:ind w:firstLine="709"/>
        <w:jc w:val="both"/>
        <w:rPr>
          <w:rFonts w:ascii="PT Astra Serif" w:hAnsi="PT Astra Serif" w:cs="PT Astra Serif" w:eastAsia="PT Astra Serif"/>
          <w:b/>
          <w:sz w:val="28"/>
          <w:szCs w:val="28"/>
        </w:rPr>
      </w:pPr>
    </w:p>
    <w:p>
      <w:pPr>
        <w:spacing w:after="120"/>
        <w:ind w:firstLine="709"/>
        <w:jc w:val="both"/>
        <w:rPr>
          <w:rFonts w:ascii="PT Astra Serif" w:hAnsi="PT Astra Serif" w:cs="PT Astra Serif" w:eastAsia="PT Astra Serif"/>
          <w:sz w:val="28"/>
          <w:szCs w:val="28"/>
          <w:highlight w:val="yellow"/>
        </w:rPr>
      </w:pPr>
      <w:r>
        <w:rPr>
          <w:rFonts w:ascii="PT Astra Serif" w:hAnsi="PT Astra Serif" w:cs="PT Astra Serif" w:eastAsia="PT Astra Serif"/>
          <w:b/>
          <w:sz w:val="28"/>
          <w:szCs w:val="28"/>
        </w:rPr>
        <w:t xml:space="preserve">Вопрос 1. 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Об актуализации перечня массовых социально значимых государственных и муниципальных услуг, подлежащих переводу </w:t>
      </w:r>
      <w:r>
        <w:rPr>
          <w:rFonts w:ascii="PT Astra Serif" w:hAnsi="PT Astra Serif" w:cs="PT Astra Serif" w:eastAsia="PT Astra Serif"/>
          <w:sz w:val="28"/>
          <w:szCs w:val="28"/>
        </w:rPr>
        <w:br/>
        <w:t xml:space="preserve">в электронный формат в Томской области </w:t>
      </w:r>
      <w:r>
        <w:rPr>
          <w:rFonts w:ascii="PT Astra Serif" w:hAnsi="PT Astra Serif" w:cs="PT Astra Serif" w:eastAsia="PT Astra Serif"/>
          <w:color w:val="000000"/>
          <w:sz w:val="28"/>
        </w:rPr>
        <w:t xml:space="preserve">в целях приведения в соответствие с нормами действующего законодательства  и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с учетом протокола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от 07 июля 2022 года № 25.</w:t>
      </w:r>
    </w:p>
    <w:p>
      <w:pPr>
        <w:spacing w:after="120"/>
        <w:ind w:firstLine="709"/>
        <w:jc w:val="both"/>
        <w:rPr>
          <w:rFonts w:ascii="PT Astra Serif" w:hAnsi="PT Astra Serif" w:cs="PT Astra Serif" w:eastAsia="PT Astra Serif"/>
          <w:sz w:val="28"/>
          <w:szCs w:val="28"/>
        </w:rPr>
      </w:pPr>
    </w:p>
    <w:p>
      <w:pPr>
        <w:spacing w:after="120"/>
        <w:ind w:firstLine="709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b/>
          <w:sz w:val="28"/>
          <w:szCs w:val="28"/>
        </w:rPr>
        <w:t xml:space="preserve">Вопрос 2. 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О результатах проведенного за 2022 год мониторинга показателя «Достижение «цифровой зрелости» ключевых отраслей экономики и социальной сферы, в том числе здравоохранения и образования, а также государственного управления» национальной цели «Цифровая трансформация» Указа Президента РФ от 21 июля 2020 года № 474 «О национальных целях развития Российской Федерации на период до 2030 года» на уровне субъекта Российской Федерации в части показателя «Доля обращений за получением массовых социально значимых государственных </w:t>
      </w:r>
      <w:r>
        <w:rPr>
          <w:rFonts w:ascii="PT Astra Serif" w:hAnsi="PT Astra Serif" w:cs="PT Astra Serif" w:eastAsia="PT Astra Serif"/>
          <w:sz w:val="28"/>
          <w:szCs w:val="28"/>
        </w:rPr>
        <w:br/>
        <w:t xml:space="preserve">и муниципальных услуг в электронном виде с использованием Единого портала государственных и муниципальных услуг (функций), без необходимости личного посещения органов государственной власти, органов местного самоуправления и многофункциональных центров предоставления государственных и муниципальных услуг, в общем количестве таких услуг».</w:t>
      </w:r>
    </w:p>
    <w:p>
      <w:pPr>
        <w:widowControl w:val="off"/>
        <w:ind w:firstLine="709"/>
        <w:jc w:val="both"/>
        <w:rPr>
          <w:rFonts w:ascii="PT Astra Serif" w:hAnsi="PT Astra Serif" w:cs="PT Astra Serif" w:eastAsia="PT Astra Serif"/>
          <w:b/>
          <w:sz w:val="28"/>
          <w:szCs w:val="28"/>
        </w:rPr>
      </w:pPr>
    </w:p>
    <w:p/>
    <w:p/>
    <w:p/>
    <w:p/>
    <w:p/>
    <w:p/>
    <w:p/>
    <w:p/>
    <w:p/>
    <w:p/>
    <w:p/>
    <w:p>
      <w:pPr>
        <w:ind w:right="151" w:firstLine="709"/>
        <w:jc w:val="right"/>
        <w:rPr>
          <w:rFonts w:ascii="PT Astra Serif" w:hAnsi="PT Astra Serif" w:eastAsia="Calibri"/>
          <w:i/>
          <w:sz w:val="28"/>
          <w:szCs w:val="26"/>
        </w:rPr>
      </w:pPr>
      <w:r>
        <w:rPr>
          <w:rFonts w:ascii="PT Astra Serif" w:hAnsi="PT Astra Serif" w:eastAsia="Calibri"/>
          <w:i/>
          <w:sz w:val="28"/>
          <w:szCs w:val="26"/>
        </w:rPr>
        <w:t xml:space="preserve">ПРОЕКТ</w:t>
      </w:r>
    </w:p>
    <w:p>
      <w:pPr>
        <w:keepNext/>
        <w:shd w:val="clear" w:color="auto" w:fill="ffffff"/>
        <w:tabs>
          <w:tab w:val="left" w:pos="787"/>
        </w:tabs>
        <w:spacing w:before="5" w:line="276" w:lineRule="auto"/>
        <w:jc w:val="center"/>
        <w:outlineLvl w:val="1"/>
        <w:rPr>
          <w:rFonts w:ascii="PT Astra Serif" w:hAnsi="PT Astra Serif" w:eastAsia="Calibri"/>
          <w:b/>
          <w:bCs/>
          <w:iCs/>
          <w:spacing w:val="-5"/>
          <w:sz w:val="28"/>
          <w:szCs w:val="28"/>
        </w:rPr>
      </w:pPr>
      <w:r>
        <w:rPr>
          <w:rFonts w:ascii="PT Astra Serif" w:hAnsi="PT Astra Serif" w:eastAsia="Calibri"/>
          <w:b/>
          <w:bCs/>
          <w:iCs/>
          <w:spacing w:val="-5"/>
          <w:sz w:val="28"/>
          <w:szCs w:val="28"/>
        </w:rPr>
        <w:t xml:space="preserve">П Р О Т О К О Л</w:t>
      </w:r>
    </w:p>
    <w:p>
      <w:pPr>
        <w:pBdr>
          <w:bottom w:val="single" w:color="auto" w:sz="12" w:space="1"/>
        </w:pBdr>
        <w:jc w:val="center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заочного заседания Комиссии по цифровому развитию, повышению эффективности деятельности органов государственного управления с использованием информационных технологий для улучшения качества и доступности предоставления государственных и муниципальных услуг гражданам и бизнесу Совета по цифровому развитию при Губернаторе Томской области</w:t>
      </w:r>
    </w:p>
    <w:p>
      <w:pPr>
        <w:pBdr>
          <w:bottom w:val="single" w:color="auto" w:sz="12" w:space="1"/>
        </w:pBdr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«31» января 2023 года                                                                                      №            </w:t>
      </w:r>
    </w:p>
    <w:p>
      <w:pPr>
        <w:spacing w:line="276" w:lineRule="auto"/>
        <w:rPr>
          <w:rFonts w:ascii="PT Astra Serif" w:hAnsi="PT Astra Serif" w:cs="PT Astra Serif" w:eastAsia="PT Astra Serif"/>
          <w:b/>
          <w:sz w:val="28"/>
          <w:szCs w:val="28"/>
        </w:rPr>
      </w:pPr>
    </w:p>
    <w:p>
      <w:pPr>
        <w:spacing w:line="276" w:lineRule="auto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ПРЕДСЕДАТЕЛЬСТВОВАЛ: Заместитель Губернатора Томской области по научно-образовательному комплексу и цифровой трансформации Л.М. Огородова</w:t>
      </w:r>
    </w:p>
    <w:p>
      <w:pPr>
        <w:spacing w:line="276" w:lineRule="auto"/>
        <w:jc w:val="both"/>
        <w:rPr>
          <w:rFonts w:ascii="PT Astra Serif" w:hAnsi="PT Astra Serif" w:cs="PT Astra Serif" w:eastAsia="PT Astra Serif"/>
          <w:sz w:val="28"/>
          <w:szCs w:val="28"/>
        </w:rPr>
      </w:pPr>
    </w:p>
    <w:p>
      <w:pPr>
        <w:ind w:firstLine="709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b/>
          <w:sz w:val="28"/>
          <w:szCs w:val="28"/>
        </w:rPr>
        <w:t xml:space="preserve">Вопрос 1.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Об актуализации перечня массовых социально значимых государственных и муниципальных услуг, подлежащих переводу </w:t>
      </w:r>
      <w:r>
        <w:rPr>
          <w:rFonts w:ascii="PT Astra Serif" w:hAnsi="PT Astra Serif" w:cs="PT Astra Serif" w:eastAsia="PT Astra Serif"/>
          <w:sz w:val="28"/>
          <w:szCs w:val="28"/>
        </w:rPr>
        <w:br/>
        <w:t xml:space="preserve">в электронный формат в Томской области </w:t>
      </w:r>
      <w:r>
        <w:rPr>
          <w:rFonts w:ascii="PT Astra Serif" w:hAnsi="PT Astra Serif" w:cs="PT Astra Serif" w:eastAsia="PT Astra Serif"/>
          <w:color w:val="000000"/>
          <w:sz w:val="28"/>
        </w:rPr>
        <w:t xml:space="preserve">в целях приведения в соответствие с нормами действующего законодательства и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с учетом протокола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от 07 июля 2022 года № 25</w:t>
      </w:r>
      <w:r>
        <w:rPr>
          <w:rFonts w:ascii="PT Astra Serif" w:hAnsi="PT Astra Serif" w:cs="PT Astra Serif" w:eastAsia="PT Astra Serif"/>
          <w:sz w:val="28"/>
        </w:rPr>
        <w:t xml:space="preserve">.</w:t>
      </w:r>
    </w:p>
    <w:p>
      <w:pPr>
        <w:ind w:firstLine="709"/>
        <w:jc w:val="both"/>
        <w:rPr>
          <w:rFonts w:ascii="PT Astra Serif" w:hAnsi="PT Astra Serif" w:cs="PT Astra Serif" w:eastAsia="PT Astra Serif"/>
          <w:sz w:val="28"/>
          <w:szCs w:val="28"/>
        </w:rPr>
      </w:pPr>
    </w:p>
    <w:p>
      <w:pPr>
        <w:pBdr>
          <w:bottom w:val="single" w:color="auto" w:sz="12" w:space="1"/>
        </w:pBdr>
        <w:ind w:firstLine="709"/>
        <w:jc w:val="both"/>
        <w:rPr>
          <w:rFonts w:ascii="PT Astra Serif" w:hAnsi="PT Astra Serif" w:cs="PT Astra Serif" w:eastAsia="PT Astra Serif"/>
          <w:b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Результаты заочного голосования по вопросу 1:</w:t>
      </w:r>
    </w:p>
    <w:p>
      <w:pPr>
        <w:ind w:firstLine="709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"за" ____ голосов, "против" ____ голосов, "воздержался" _____ голосов.</w:t>
      </w:r>
    </w:p>
    <w:p>
      <w:pPr>
        <w:spacing w:line="276" w:lineRule="auto"/>
        <w:contextualSpacing/>
        <w:jc w:val="both"/>
        <w:rPr>
          <w:rFonts w:ascii="PT Astra Serif" w:hAnsi="PT Astra Serif" w:cs="PT Astra Serif" w:eastAsia="PT Astra Serif"/>
          <w:sz w:val="28"/>
          <w:szCs w:val="28"/>
        </w:rPr>
      </w:pPr>
    </w:p>
    <w:p>
      <w:pPr>
        <w:spacing w:line="276" w:lineRule="auto"/>
        <w:contextualSpacing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РЕШИЛИ:</w:t>
      </w:r>
    </w:p>
    <w:p>
      <w:pPr>
        <w:widowControl w:val="off"/>
        <w:ind w:firstLine="709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1) Утвердить  в новой редакции перечень массовых социально значимых государственных и муниципальных услуг, подлежащих переводу </w:t>
      </w:r>
      <w:r>
        <w:rPr>
          <w:rFonts w:ascii="PT Astra Serif" w:hAnsi="PT Astra Serif" w:cs="PT Astra Serif" w:eastAsia="PT Astra Serif"/>
          <w:sz w:val="28"/>
          <w:szCs w:val="28"/>
        </w:rPr>
        <w:br/>
        <w:t xml:space="preserve">в электронный формат в Томской области (далее – Перечень услуг) согласно приложению к настоящему протоколу.</w:t>
      </w:r>
    </w:p>
    <w:p>
      <w:pPr>
        <w:widowControl w:val="off"/>
        <w:ind w:firstLine="709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2) Ответственным за цифровую трансформацию в исполнительных  органах Томской области, в том числе за перевод услуг в электронный формат по курируемой отрасли, включая муниципальные услуги и услуги учреждений, а также</w:t>
      </w:r>
      <w:r>
        <w:rPr>
          <w:rFonts w:ascii="PT Astra Serif" w:hAnsi="PT Astra Serif" w:cs="PT Astra Serif" w:eastAsia="PT Astra Serif"/>
          <w:sz w:val="28"/>
        </w:rPr>
        <w:t xml:space="preserve">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Главам районов и городских округов муниципальных образований Томской области организовать мероприятия в соответствии </w:t>
      </w:r>
      <w:r>
        <w:rPr>
          <w:rFonts w:ascii="PT Astra Serif" w:hAnsi="PT Astra Serif" w:cs="PT Astra Serif" w:eastAsia="PT Astra Serif"/>
          <w:sz w:val="28"/>
          <w:szCs w:val="28"/>
        </w:rPr>
        <w:br/>
        <w:t xml:space="preserve">с Планом перевода массовых социально значимых государственных услуг субъектов Российской Федерации и муниципальных услуг в электронный формат, приведенного протоколом президиума Правительственной комиссии по цифровому развитию, использованию информационных технологий для улучшения качества жизни и условий ведения предпринимательской деятельности от  07 июля 2022 года № 25:</w:t>
      </w:r>
    </w:p>
    <w:p>
      <w:pPr>
        <w:widowControl w:val="off"/>
        <w:ind w:firstLine="709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- обратить особое внимание, что услуги из Перечня услуг доступны для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заявителей на Госуслугах, заявления поступают в органы, оказывающие услуги посредством системы «Платформа государственных сервисов» (ПГС) или в ведомственные информационные системы (ВИС);</w:t>
      </w:r>
    </w:p>
    <w:p>
      <w:pPr>
        <w:widowControl w:val="off"/>
        <w:ind w:firstLine="709"/>
        <w:jc w:val="both"/>
        <w:rPr>
          <w:rFonts w:ascii="PT Astra Serif" w:hAnsi="PT Astra Serif" w:cs="PT Astra Serif" w:eastAsia="PT Astra Serif"/>
          <w:color w:val="0000FF"/>
          <w:sz w:val="28"/>
          <w:szCs w:val="22"/>
          <w:u w:val="single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- в кратчайшие сроки необходимо актуализировать нормативно-правовые акты регионального и муниципального уровня, в том числе административные регламенты предоставления государственных </w:t>
      </w:r>
      <w:r>
        <w:rPr>
          <w:rFonts w:ascii="PT Astra Serif" w:hAnsi="PT Astra Serif" w:cs="PT Astra Serif" w:eastAsia="PT Astra Serif"/>
          <w:sz w:val="28"/>
          <w:szCs w:val="28"/>
        </w:rPr>
        <w:br/>
        <w:t xml:space="preserve">и муниципальных услуг в соответствии с описанием целевого состояния услуг и типовых административных регламентов, размещенных по адресу: </w:t>
      </w:r>
      <w:hyperlink r:id="rId9" w:tooltip="https://disk.yandex.ru/d/fys7HV6DFjj-Bw" w:history="1">
        <w:r>
          <w:rPr>
            <w:rFonts w:ascii="PT Astra Serif" w:hAnsi="PT Astra Serif" w:cs="PT Astra Serif" w:eastAsia="PT Astra Serif"/>
            <w:color w:val="0000FF"/>
            <w:sz w:val="28"/>
            <w:szCs w:val="28"/>
            <w:u w:val="single"/>
          </w:rPr>
          <w:tab/>
          <w:t xml:space="preserve">https://disk.yandex.ru/d/fys7HV6DFjj-Bw</w:t>
        </w:r>
      </w:hyperlink>
      <w:r>
        <w:rPr>
          <w:rFonts w:ascii="PT Astra Serif" w:hAnsi="PT Astra Serif" w:cs="PT Astra Serif" w:eastAsia="PT Astra Serif"/>
          <w:sz w:val="28"/>
          <w:szCs w:val="28"/>
        </w:rPr>
        <w:t xml:space="preserve">;</w:t>
      </w:r>
      <w:r>
        <w:rPr>
          <w:rFonts w:ascii="PT Astra Serif" w:hAnsi="PT Astra Serif" w:cs="PT Astra Serif" w:eastAsia="PT Astra Serif"/>
          <w:sz w:val="28"/>
          <w:szCs w:val="24"/>
        </w:rPr>
        <w:t xml:space="preserve"> </w:t>
      </w:r>
      <w:hyperlink r:id="rId10" w:tooltip="https://drive.rtlabs.ru/d/s/nzFM4REceNS9TjRb8vLNbXI5szHHLUas/IMbyUrAaduS1vgtsYVDwzL4J00ceJHBV-3L_A1ywWZwk" w:history="1">
        <w:r>
          <w:rPr>
            <w:rFonts w:ascii="PT Astra Serif" w:hAnsi="PT Astra Serif" w:cs="PT Astra Serif" w:eastAsia="PT Astra Serif"/>
            <w:color w:val="0000FF"/>
            <w:sz w:val="28"/>
            <w:szCs w:val="28"/>
            <w:u w:val="single"/>
          </w:rPr>
          <w:tab/>
          <w:t xml:space="preserve">https://drive.rtlabs.ru/d/s/nzFM4REceNS9TjRb8vLNbXI5szHHLUas/IMbyUrAaduS1vgtsYVDwzL4J00ceJHBV-3L_A1ywWZwk</w:t>
        </w:r>
      </w:hyperlink>
      <w:r>
        <w:rPr>
          <w:rFonts w:ascii="PT Astra Serif" w:hAnsi="PT Astra Serif" w:cs="PT Astra Serif" w:eastAsia="PT Astra Serif"/>
          <w:color w:val="0000FF"/>
          <w:sz w:val="28"/>
          <w:szCs w:val="28"/>
          <w:u w:val="single"/>
        </w:rPr>
        <w:t xml:space="preserve">.</w:t>
      </w:r>
    </w:p>
    <w:p>
      <w:pPr>
        <w:widowControl w:val="off"/>
        <w:ind w:firstLine="709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- организовать работу по внесению актуальной информации в </w:t>
      </w:r>
      <w:r>
        <w:rPr>
          <w:rFonts w:ascii="PT Astra Serif" w:hAnsi="PT Astra Serif" w:cs="PT Astra Serif" w:eastAsia="PT Astra Serif"/>
          <w:sz w:val="28"/>
          <w:szCs w:val="28"/>
          <w:lang w:eastAsia="en-US"/>
        </w:rPr>
        <w:t xml:space="preserve">Реестр государственных услуг Томской области и Реестры муниципальных услуг </w:t>
      </w:r>
      <w:r>
        <w:rPr>
          <w:rFonts w:ascii="PT Astra Serif" w:hAnsi="PT Astra Serif" w:cs="PT Astra Serif" w:eastAsia="PT Astra Serif"/>
          <w:sz w:val="28"/>
          <w:szCs w:val="28"/>
          <w:lang w:eastAsia="en-US"/>
        </w:rPr>
        <w:br/>
        <w:t xml:space="preserve">по услугам согласно Перечню услуг.</w:t>
      </w:r>
    </w:p>
    <w:p>
      <w:pPr>
        <w:widowControl w:val="off"/>
        <w:jc w:val="both"/>
        <w:rPr>
          <w:rFonts w:ascii="PT Astra Serif" w:hAnsi="PT Astra Serif" w:cs="PT Astra Serif" w:eastAsia="PT Astra Serif"/>
          <w:sz w:val="28"/>
          <w:szCs w:val="28"/>
        </w:rPr>
      </w:pPr>
    </w:p>
    <w:p>
      <w:pPr>
        <w:ind w:firstLine="709"/>
        <w:jc w:val="both"/>
        <w:rPr>
          <w:rFonts w:ascii="PT Astra Serif" w:hAnsi="PT Astra Serif" w:cs="PT Astra Serif" w:eastAsia="PT Astra Serif"/>
          <w:sz w:val="28"/>
        </w:rPr>
      </w:pPr>
      <w:r>
        <w:rPr>
          <w:rFonts w:ascii="PT Astra Serif" w:hAnsi="PT Astra Serif" w:cs="PT Astra Serif" w:eastAsia="PT Astra Serif"/>
          <w:b/>
          <w:sz w:val="28"/>
          <w:szCs w:val="28"/>
        </w:rPr>
        <w:t xml:space="preserve">Вопрос 2.  </w:t>
      </w:r>
      <w:r>
        <w:rPr>
          <w:rFonts w:ascii="PT Astra Serif" w:hAnsi="PT Astra Serif" w:cs="PT Astra Serif" w:eastAsia="PT Astra Serif"/>
          <w:sz w:val="28"/>
          <w:szCs w:val="28"/>
        </w:rPr>
        <w:t xml:space="preserve">О результатах проведенного в 2022 году мониторинга показателя «Достижение «цифровой зрелости» ключевых отраслей экономики и социальной сферы, в том числе здравоохранения и образования, а также государственного управления» национальной цели «Цифровая трансформация» Указа Президента РФ от 21 июля 2020 года № 474 «О национальных целях развития Российской Федерации на период до 2030 года» на уровне субъекта Российской Федерации в части показателя «Доля обращений за получением массовых социально значимых государственных </w:t>
      </w:r>
      <w:r>
        <w:rPr>
          <w:rFonts w:ascii="PT Astra Serif" w:hAnsi="PT Astra Serif" w:cs="PT Astra Serif" w:eastAsia="PT Astra Serif"/>
          <w:sz w:val="28"/>
          <w:szCs w:val="28"/>
        </w:rPr>
        <w:br/>
        <w:t xml:space="preserve">и муниципальных услуг в электронном виде с использованием Единого портала государственных и муниципальных услуг (функций), без необходимости личного посещения органов государственной власти, органов местного самоуправления и многофункциональных центров предоставления государственных и муниципальных услуг, в общем количестве таких услуг».</w:t>
      </w:r>
    </w:p>
    <w:p>
      <w:pPr>
        <w:ind w:firstLine="709"/>
        <w:jc w:val="both"/>
        <w:rPr>
          <w:rFonts w:ascii="PT Astra Serif" w:hAnsi="PT Astra Serif" w:cs="PT Astra Serif" w:eastAsia="PT Astra Serif"/>
          <w:sz w:val="28"/>
          <w:szCs w:val="28"/>
        </w:rPr>
      </w:pPr>
    </w:p>
    <w:p>
      <w:pPr>
        <w:pBdr>
          <w:bottom w:val="single" w:color="auto" w:sz="12" w:space="1"/>
        </w:pBdr>
        <w:ind w:firstLine="709"/>
        <w:jc w:val="both"/>
        <w:rPr>
          <w:rFonts w:ascii="PT Astra Serif" w:hAnsi="PT Astra Serif" w:cs="PT Astra Serif" w:eastAsia="PT Astra Serif"/>
          <w:b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Результаты заочного голосования по вопросу 2:</w:t>
      </w:r>
    </w:p>
    <w:p>
      <w:pPr>
        <w:ind w:firstLine="709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"за" ____ голосов, "против" ____ голосов, "воздержался" _____ голосов.</w:t>
      </w:r>
    </w:p>
    <w:p>
      <w:pPr>
        <w:ind w:firstLine="709"/>
        <w:contextualSpacing/>
        <w:jc w:val="both"/>
        <w:rPr>
          <w:rFonts w:ascii="PT Astra Serif" w:hAnsi="PT Astra Serif" w:cs="PT Astra Serif" w:eastAsia="PT Astra Serif"/>
          <w:sz w:val="28"/>
          <w:szCs w:val="28"/>
        </w:rPr>
      </w:pPr>
    </w:p>
    <w:p>
      <w:pPr>
        <w:contextualSpacing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РЕШИЛИ:</w:t>
      </w:r>
    </w:p>
    <w:p>
      <w:pPr>
        <w:pStyle w:val="a3"/>
        <w:widowControl w:val="off"/>
        <w:numPr>
          <w:numId w:val="2"/>
          <w:ilvl w:val="0"/>
        </w:numPr>
        <w:ind w:left="0" w:firstLine="720"/>
        <w:jc w:val="both"/>
        <w:rPr>
          <w:rFonts w:ascii="PT Astra Serif" w:hAnsi="PT Astra Serif" w:cs="PT Astra Serif" w:eastAsia="PT Astra Serif"/>
          <w:sz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Принять к сведению результаты проведенного в 2022 году мониторинга показателя «Достижение «цифровой зрелости» ключевых отраслей экономики и социальной сферы, в том числе здравоохранения </w:t>
      </w:r>
      <w:r>
        <w:rPr>
          <w:rFonts w:ascii="PT Astra Serif" w:hAnsi="PT Astra Serif" w:cs="PT Astra Serif" w:eastAsia="PT Astra Serif"/>
          <w:sz w:val="28"/>
          <w:szCs w:val="28"/>
        </w:rPr>
        <w:br/>
        <w:t xml:space="preserve">и образования, а также государственного управления» национальной цели «Цифровая трансформация» Указа Президента РФ от 21 июля 2020 года № 474 «О национальных целях развития Российской Федерации на период </w:t>
      </w:r>
      <w:r>
        <w:rPr>
          <w:rFonts w:ascii="PT Astra Serif" w:hAnsi="PT Astra Serif" w:cs="PT Astra Serif" w:eastAsia="PT Astra Serif"/>
          <w:sz w:val="28"/>
          <w:szCs w:val="28"/>
        </w:rPr>
        <w:br/>
        <w:t xml:space="preserve">до 2030 года» на уровне субъекта Российской Федерации в части показателя «Доля обращений за получением массовых социально значимых государственных и муниципальных услуг в электронном виде </w:t>
      </w:r>
      <w:r>
        <w:rPr>
          <w:rFonts w:ascii="PT Astra Serif" w:hAnsi="PT Astra Serif" w:cs="PT Astra Serif" w:eastAsia="PT Astra Serif"/>
          <w:sz w:val="28"/>
          <w:szCs w:val="28"/>
        </w:rPr>
        <w:br/>
        <w:t xml:space="preserve">с использованием Единого портала государственных и муниципальных услуг (функций), без необходимости личного посещения органов государственной власти, органов местного самоуправления и многофункциональных центров предоставления государственных и муниципальных услуг, в общем количестве таких услуг».</w:t>
      </w:r>
    </w:p>
    <w:p>
      <w:pPr>
        <w:pStyle w:val="a3"/>
        <w:widowControl w:val="off"/>
        <w:numPr>
          <w:numId w:val="2"/>
          <w:ilvl w:val="0"/>
        </w:numPr>
        <w:ind w:left="0" w:firstLine="72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  <w:szCs w:val="28"/>
        </w:rPr>
        <w:t xml:space="preserve">Руководителям исполнительных органов Томской области </w:t>
      </w:r>
      <w:r>
        <w:rPr>
          <w:rFonts w:ascii="PT Astra Serif" w:hAnsi="PT Astra Serif" w:cs="PT Astra Serif" w:eastAsia="PT Astra Serif"/>
          <w:sz w:val="28"/>
          <w:szCs w:val="28"/>
        </w:rPr>
        <w:br/>
        <w:t xml:space="preserve">и Главам муниципальных образований Томской области необходимо взять под личный контроль организацию мероприятий по популяризации получения государственных и муниципальных услуг в электронной форме.</w:t>
      </w:r>
    </w:p>
    <w:p>
      <w:pPr>
        <w:pStyle w:val="a3"/>
        <w:widowControl w:val="off"/>
        <w:numPr>
          <w:numId w:val="2"/>
          <w:ilvl w:val="0"/>
        </w:numPr>
        <w:ind w:left="0" w:firstLine="72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</w:rPr>
        <w:t xml:space="preserve">Рекомендовать государственным гражданским и муниципальным служащим, которые уполномочены осуществлять прием и выдачу документов заявителей на предоставление государственных </w:t>
      </w:r>
      <w:r>
        <w:rPr>
          <w:rFonts w:ascii="PT Astra Serif" w:hAnsi="PT Astra Serif" w:cs="PT Astra Serif" w:eastAsia="PT Astra Serif"/>
          <w:sz w:val="28"/>
        </w:rPr>
        <w:br/>
        <w:t xml:space="preserve">и муниципальных услуг проводить консультации заявителям:</w:t>
      </w:r>
    </w:p>
    <w:p>
      <w:pPr>
        <w:widowControl w:val="off"/>
        <w:ind w:firstLine="72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</w:rPr>
        <w:t xml:space="preserve"> о возможностях и преимуществах получения услуг в электронной форме и отличии от их получения в традиционном виде;</w:t>
      </w:r>
    </w:p>
    <w:p>
      <w:pPr>
        <w:widowControl w:val="off"/>
        <w:ind w:firstLine="72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</w:rPr>
        <w:t xml:space="preserve"> о видах услуг, доступных на текущий момент для получения </w:t>
      </w:r>
      <w:r>
        <w:rPr>
          <w:rFonts w:ascii="PT Astra Serif" w:hAnsi="PT Astra Serif" w:cs="PT Astra Serif" w:eastAsia="PT Astra Serif"/>
          <w:sz w:val="28"/>
        </w:rPr>
        <w:br/>
        <w:t xml:space="preserve">в электронной форме;</w:t>
      </w:r>
    </w:p>
    <w:p>
      <w:pPr>
        <w:widowControl w:val="off"/>
        <w:ind w:firstLine="720"/>
        <w:jc w:val="both"/>
        <w:rPr>
          <w:rFonts w:ascii="PT Astra Serif" w:hAnsi="PT Astra Serif" w:cs="PT Astra Serif" w:eastAsia="PT Astra Serif"/>
          <w:sz w:val="28"/>
          <w:szCs w:val="28"/>
        </w:rPr>
      </w:pPr>
      <w:r>
        <w:rPr>
          <w:rFonts w:ascii="PT Astra Serif" w:hAnsi="PT Astra Serif" w:cs="PT Astra Serif" w:eastAsia="PT Astra Serif"/>
          <w:sz w:val="28"/>
        </w:rPr>
        <w:t xml:space="preserve"> о регистрации учётной записи на Едином портале государственных </w:t>
      </w:r>
      <w:r>
        <w:rPr>
          <w:rFonts w:ascii="PT Astra Serif" w:hAnsi="PT Astra Serif" w:cs="PT Astra Serif" w:eastAsia="PT Astra Serif"/>
          <w:sz w:val="28"/>
        </w:rPr>
        <w:br/>
        <w:t xml:space="preserve">и муниципальных услуг (далее - ЕПГУ), о подтверждении личности при регистрации на ЕПГУ.</w:t>
      </w:r>
    </w:p>
    <w:p>
      <w:pPr>
        <w:ind w:firstLine="720"/>
        <w:rPr>
          <w:rFonts w:ascii="PT Astra Serif" w:hAnsi="PT Astra Serif" w:cs="PT Astra Serif" w:eastAsia="PT Astra Serif"/>
          <w:sz w:val="28"/>
          <w:highlight w:val="yellow"/>
        </w:rPr>
      </w:pPr>
    </w:p>
    <w:p>
      <w:pPr>
        <w:ind w:firstLine="720"/>
        <w:contextualSpacing/>
        <w:jc w:val="both"/>
        <w:rPr>
          <w:rFonts w:ascii="PT Astra Serif" w:hAnsi="PT Astra Serif" w:cs="PT Astra Serif" w:eastAsia="PT Astra Serif"/>
          <w:sz w:val="28"/>
          <w:szCs w:val="28"/>
          <w:highlight w:val="yellow"/>
        </w:rPr>
      </w:pPr>
    </w:p>
    <w:p>
      <w:pPr>
        <w:rPr>
          <w:rFonts w:ascii="PT Astra Serif" w:hAnsi="PT Astra Serif" w:cs="PT Astra Serif" w:eastAsia="PT Astra Serif"/>
          <w:sz w:val="28"/>
          <w:szCs w:val="28"/>
        </w:rPr>
      </w:pPr>
    </w:p>
    <w:p>
      <w:pPr>
        <w:rPr>
          <w:sz w:val="28"/>
          <w:szCs w:val="28"/>
        </w:rPr>
      </w:pPr>
    </w:p>
    <w:p/>
    <w:sectPr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PT Astra Serif">
    <w:panose1 w:val="020A060304050502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52CCF19A">
      <w:start w:val="1"/>
      <w:numFmt w:val="decimal"/>
      <w:lvlText w:val="%1)"/>
      <w:lvlJc w:val="left"/>
    </w:lvl>
    <w:lvl w:ilvl="1" w:tplc="6BDAEF48">
      <w:start w:val="1"/>
      <w:numFmt w:val="lowerLetter"/>
      <w:lvlText w:val="%2."/>
      <w:lvlJc w:val="left"/>
      <w:pPr>
        <w:ind w:left="1440" w:hanging="360"/>
      </w:pPr>
    </w:lvl>
    <w:lvl w:ilvl="2" w:tplc="64DE0490">
      <w:start w:val="1"/>
      <w:numFmt w:val="lowerRoman"/>
      <w:lvlText w:val="%3."/>
      <w:lvlJc w:val="right"/>
      <w:pPr>
        <w:ind w:left="2160" w:hanging="180"/>
      </w:pPr>
    </w:lvl>
    <w:lvl w:ilvl="3" w:tplc="5F2EFB66">
      <w:start w:val="1"/>
      <w:numFmt w:val="decimal"/>
      <w:lvlText w:val="%4."/>
      <w:lvlJc w:val="left"/>
      <w:pPr>
        <w:ind w:left="2880" w:hanging="360"/>
      </w:pPr>
    </w:lvl>
    <w:lvl w:ilvl="4" w:tplc="1284AE30">
      <w:start w:val="1"/>
      <w:numFmt w:val="lowerLetter"/>
      <w:lvlText w:val="%5."/>
      <w:lvlJc w:val="left"/>
      <w:pPr>
        <w:ind w:left="3600" w:hanging="360"/>
      </w:pPr>
    </w:lvl>
    <w:lvl w:ilvl="5" w:tplc="19C62F6A">
      <w:start w:val="1"/>
      <w:numFmt w:val="lowerRoman"/>
      <w:lvlText w:val="%6."/>
      <w:lvlJc w:val="right"/>
      <w:pPr>
        <w:ind w:left="4320" w:hanging="180"/>
      </w:pPr>
    </w:lvl>
    <w:lvl w:ilvl="6" w:tplc="60B0CF12">
      <w:start w:val="1"/>
      <w:numFmt w:val="decimal"/>
      <w:lvlText w:val="%7."/>
      <w:lvlJc w:val="left"/>
      <w:pPr>
        <w:ind w:left="5040" w:hanging="360"/>
      </w:pPr>
    </w:lvl>
    <w:lvl w:ilvl="7" w:tplc="6DF02B78">
      <w:start w:val="1"/>
      <w:numFmt w:val="lowerLetter"/>
      <w:lvlText w:val="%8."/>
      <w:lvlJc w:val="left"/>
      <w:pPr>
        <w:ind w:left="5760" w:hanging="360"/>
      </w:pPr>
    </w:lvl>
    <w:lvl w:ilvl="8" w:tplc="E9C841B4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plc="56A693B8">
      <w:start w:val="1"/>
      <w:numFmt w:val="decimal"/>
      <w:lvlText w:val="%1)"/>
      <w:lvlJc w:val="left"/>
    </w:lvl>
    <w:lvl w:ilvl="1" w:tplc="7A081962">
      <w:start w:val="1"/>
      <w:numFmt w:val="lowerLetter"/>
      <w:lvlText w:val="%2."/>
      <w:lvlJc w:val="left"/>
      <w:pPr>
        <w:ind w:left="1440" w:hanging="360"/>
      </w:pPr>
    </w:lvl>
    <w:lvl w:ilvl="2" w:tplc="0DFA983A">
      <w:start w:val="1"/>
      <w:numFmt w:val="lowerRoman"/>
      <w:lvlText w:val="%3."/>
      <w:lvlJc w:val="right"/>
      <w:pPr>
        <w:ind w:left="2160" w:hanging="180"/>
      </w:pPr>
    </w:lvl>
    <w:lvl w:ilvl="3" w:tplc="980CAA72">
      <w:start w:val="1"/>
      <w:numFmt w:val="decimal"/>
      <w:lvlText w:val="%4."/>
      <w:lvlJc w:val="left"/>
      <w:pPr>
        <w:ind w:left="2880" w:hanging="360"/>
      </w:pPr>
    </w:lvl>
    <w:lvl w:ilvl="4" w:tplc="768C4EE2">
      <w:start w:val="1"/>
      <w:numFmt w:val="lowerLetter"/>
      <w:lvlText w:val="%5."/>
      <w:lvlJc w:val="left"/>
      <w:pPr>
        <w:ind w:left="3600" w:hanging="360"/>
      </w:pPr>
    </w:lvl>
    <w:lvl w:ilvl="5" w:tplc="9200A97E">
      <w:start w:val="1"/>
      <w:numFmt w:val="lowerRoman"/>
      <w:lvlText w:val="%6."/>
      <w:lvlJc w:val="right"/>
      <w:pPr>
        <w:ind w:left="4320" w:hanging="180"/>
      </w:pPr>
    </w:lvl>
    <w:lvl w:ilvl="6" w:tplc="E808FFAC">
      <w:start w:val="1"/>
      <w:numFmt w:val="decimal"/>
      <w:lvlText w:val="%7."/>
      <w:lvlJc w:val="left"/>
      <w:pPr>
        <w:ind w:left="5040" w:hanging="360"/>
      </w:pPr>
    </w:lvl>
    <w:lvl w:ilvl="7" w:tplc="FCE6BD62">
      <w:start w:val="1"/>
      <w:numFmt w:val="lowerLetter"/>
      <w:lvlText w:val="%8."/>
      <w:lvlJc w:val="left"/>
      <w:pPr>
        <w:ind w:left="5760" w:hanging="360"/>
      </w:pPr>
    </w:lvl>
    <w:lvl w:ilvl="8" w:tplc="E3FE054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0" w:line="240" w:lineRule="auto"/>
    </w:pPr>
    <w:rPr>
      <w:rFonts w:ascii="Times New Roman" w:hAnsi="Times New Roman" w:cs="Times New Roman"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Heading1Char" w:customStyle="1">
    <w:name w:val="Heading 1 Char"/>
    <w:basedOn w:val="a0"/>
    <w:uiPriority w:val="9"/>
    <w:rPr>
      <w:rFonts w:ascii="Arial" w:hAnsi="Arial" w:cs="Arial" w:eastAsia="Arial"/>
      <w:sz w:val="40"/>
      <w:szCs w:val="40"/>
    </w:rPr>
  </w:style>
  <w:style w:type="character" w:styleId="Heading2Char" w:customStyle="1">
    <w:name w:val="Heading 2 Char"/>
    <w:basedOn w:val="a0"/>
    <w:uiPriority w:val="9"/>
    <w:rPr>
      <w:rFonts w:ascii="Arial" w:hAnsi="Arial" w:cs="Arial" w:eastAsia="Arial"/>
      <w:sz w:val="34"/>
    </w:rPr>
  </w:style>
  <w:style w:type="character" w:styleId="Heading3Char" w:customStyle="1">
    <w:name w:val="Heading 3 Char"/>
    <w:basedOn w:val="a0"/>
    <w:uiPriority w:val="9"/>
    <w:rPr>
      <w:rFonts w:ascii="Arial" w:hAnsi="Arial" w:cs="Arial" w:eastAsia="Arial"/>
      <w:sz w:val="30"/>
      <w:szCs w:val="30"/>
    </w:rPr>
  </w:style>
  <w:style w:type="character" w:styleId="Heading4Char" w:customStyle="1">
    <w:name w:val="Heading 4 Char"/>
    <w:basedOn w:val="a0"/>
    <w:uiPriority w:val="9"/>
    <w:rPr>
      <w:rFonts w:ascii="Arial" w:hAnsi="Arial" w:cs="Arial" w:eastAsia="Arial"/>
      <w:b/>
      <w:bCs/>
      <w:sz w:val="26"/>
      <w:szCs w:val="26"/>
    </w:rPr>
  </w:style>
  <w:style w:type="character" w:styleId="Heading5Char" w:customStyle="1">
    <w:name w:val="Heading 5 Char"/>
    <w:basedOn w:val="a0"/>
    <w:uiPriority w:val="9"/>
    <w:rPr>
      <w:rFonts w:ascii="Arial" w:hAnsi="Arial" w:cs="Arial" w:eastAsia="Arial"/>
      <w:b/>
      <w:bCs/>
      <w:sz w:val="24"/>
      <w:szCs w:val="24"/>
    </w:rPr>
  </w:style>
  <w:style w:type="character" w:styleId="Heading6Char" w:customStyle="1">
    <w:name w:val="Heading 6 Char"/>
    <w:basedOn w:val="a0"/>
    <w:uiPriority w:val="9"/>
    <w:rPr>
      <w:rFonts w:ascii="Arial" w:hAnsi="Arial" w:cs="Arial" w:eastAsia="Arial"/>
      <w:b/>
      <w:bCs/>
      <w:sz w:val="22"/>
      <w:szCs w:val="22"/>
    </w:rPr>
  </w:style>
  <w:style w:type="character" w:styleId="Heading7Char" w:customStyle="1">
    <w:name w:val="Heading 7 Char"/>
    <w:basedOn w:val="a0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Heading8Char" w:customStyle="1">
    <w:name w:val="Heading 8 Char"/>
    <w:basedOn w:val="a0"/>
    <w:uiPriority w:val="9"/>
    <w:rPr>
      <w:rFonts w:ascii="Arial" w:hAnsi="Arial" w:cs="Arial" w:eastAsia="Arial"/>
      <w:i/>
      <w:iCs/>
      <w:sz w:val="22"/>
      <w:szCs w:val="22"/>
    </w:rPr>
  </w:style>
  <w:style w:type="character" w:styleId="Heading9Char" w:customStyle="1">
    <w:name w:val="Heading 9 Char"/>
    <w:basedOn w:val="a0"/>
    <w:uiPriority w:val="9"/>
    <w:rPr>
      <w:rFonts w:ascii="Arial" w:hAnsi="Arial" w:cs="Arial" w:eastAsia="Arial"/>
      <w:i/>
      <w:iCs/>
      <w:sz w:val="21"/>
      <w:szCs w:val="21"/>
    </w:rPr>
  </w:style>
  <w:style w:type="character" w:styleId="TitleChar" w:customStyle="1">
    <w:name w:val="Title Char"/>
    <w:basedOn w:val="a0"/>
    <w:uiPriority w:val="10"/>
    <w:rPr>
      <w:sz w:val="48"/>
      <w:szCs w:val="48"/>
    </w:rPr>
  </w:style>
  <w:style w:type="character" w:styleId="SubtitleChar" w:customStyle="1">
    <w:name w:val="Subtitle Char"/>
    <w:basedOn w:val="a0"/>
    <w:uiPriority w:val="11"/>
    <w:rPr>
      <w:sz w:val="24"/>
      <w:szCs w:val="24"/>
    </w:rPr>
  </w:style>
  <w:style w:type="character" w:styleId="QuoteChar" w:customStyle="1">
    <w:name w:val="Quote Char"/>
    <w:uiPriority w:val="29"/>
    <w:rPr>
      <w:i/>
    </w:rPr>
  </w:style>
  <w:style w:type="character" w:styleId="IntenseQuoteChar" w:customStyle="1">
    <w:name w:val="Intense Quote Char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CaptionChar" w:customStyle="1">
    <w:name w:val="Caption Char"/>
    <w:uiPriority w:val="99"/>
  </w:style>
  <w:style w:type="character" w:styleId="FootnoteTextChar" w:customStyle="1">
    <w:name w:val="Footnote Text Char"/>
    <w:uiPriority w:val="99"/>
    <w:rPr>
      <w:sz w:val="18"/>
    </w:rPr>
  </w:style>
  <w:style w:type="character" w:styleId="EndnoteTextChar" w:customStyle="1">
    <w:name w:val="Endnote Text Char"/>
    <w:uiPriority w:val="99"/>
    <w:rPr>
      <w:sz w:val="20"/>
    </w:rPr>
  </w:style>
  <w:style w:type="character" w:styleId="10" w:customStyle="1">
    <w:name w:val="Заголовок 1 Знак"/>
    <w:basedOn w:val="a0"/>
    <w:link w:val="1"/>
    <w:uiPriority w:val="9"/>
    <w:rPr>
      <w:rFonts w:ascii="Arial" w:hAnsi="Arial" w:cs="Arial" w:eastAsia="Arial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rPr>
      <w:rFonts w:ascii="Arial" w:hAnsi="Arial" w:cs="Arial" w:eastAsia="Arial"/>
      <w:sz w:val="34"/>
    </w:rPr>
  </w:style>
  <w:style w:type="character" w:styleId="30" w:customStyle="1">
    <w:name w:val="Заголовок 3 Знак"/>
    <w:basedOn w:val="a0"/>
    <w:link w:val="3"/>
    <w:uiPriority w:val="9"/>
    <w:rPr>
      <w:rFonts w:ascii="Arial" w:hAnsi="Arial" w:cs="Arial" w:eastAsia="Arial"/>
      <w:sz w:val="30"/>
      <w:szCs w:val="30"/>
    </w:rPr>
  </w:style>
  <w:style w:type="character" w:styleId="40" w:customStyle="1">
    <w:name w:val="Заголовок 4 Знак"/>
    <w:basedOn w:val="a0"/>
    <w:link w:val="4"/>
    <w:uiPriority w:val="9"/>
    <w:rPr>
      <w:rFonts w:ascii="Arial" w:hAnsi="Arial" w:cs="Arial" w:eastAsia="Arial"/>
      <w:b/>
      <w:bCs/>
      <w:sz w:val="26"/>
      <w:szCs w:val="26"/>
    </w:rPr>
  </w:style>
  <w:style w:type="character" w:styleId="50" w:customStyle="1">
    <w:name w:val="Заголовок 5 Знак"/>
    <w:basedOn w:val="a0"/>
    <w:link w:val="5"/>
    <w:uiPriority w:val="9"/>
    <w:rPr>
      <w:rFonts w:ascii="Arial" w:hAnsi="Arial" w:cs="Arial" w:eastAsia="Arial"/>
      <w:b/>
      <w:bCs/>
      <w:sz w:val="24"/>
      <w:szCs w:val="24"/>
    </w:rPr>
  </w:style>
  <w:style w:type="character" w:styleId="60" w:customStyle="1">
    <w:name w:val="Заголовок 6 Знак"/>
    <w:basedOn w:val="a0"/>
    <w:link w:val="6"/>
    <w:uiPriority w:val="9"/>
    <w:rPr>
      <w:rFonts w:ascii="Arial" w:hAnsi="Arial" w:cs="Arial" w:eastAsia="Arial"/>
      <w:b/>
      <w:bCs/>
      <w:sz w:val="22"/>
      <w:szCs w:val="22"/>
    </w:rPr>
  </w:style>
  <w:style w:type="character" w:styleId="70" w:customStyle="1">
    <w:name w:val="Заголовок 7 Знак"/>
    <w:basedOn w:val="a0"/>
    <w:link w:val="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80" w:customStyle="1">
    <w:name w:val="Заголовок 8 Знак"/>
    <w:basedOn w:val="a0"/>
    <w:link w:val="8"/>
    <w:uiPriority w:val="9"/>
    <w:rPr>
      <w:rFonts w:ascii="Arial" w:hAnsi="Arial" w:cs="Arial" w:eastAsia="Arial"/>
      <w:i/>
      <w:iCs/>
      <w:sz w:val="22"/>
      <w:szCs w:val="22"/>
    </w:rPr>
  </w:style>
  <w:style w:type="character" w:styleId="90" w:customStyle="1">
    <w:name w:val="Заголовок 9 Знак"/>
    <w:basedOn w:val="a0"/>
    <w:link w:val="9"/>
    <w:uiPriority w:val="9"/>
    <w:rPr>
      <w:rFonts w:ascii="Arial" w:hAnsi="Arial" w:cs="Arial" w:eastAsia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6" w:customStyle="1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styleId="a8" w:customStyle="1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a" w:customStyle="1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styleId="ac" w:customStyle="1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styleId="FooterChar" w:customStyle="1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ae" w:customStyle="1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TableGridLight" w:customStyle="1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PlainTable1" w:customStyle="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tcPr>
        <w:shd w:val="clear" w:color="f2f2f2" w:themeColor="text1" w:themeTint="0D" w:fill="f2f2f2" w:themeFill="text1" w:themeFillTint="0D"/>
      </w:tcPr>
    </w:tblStylePr>
  </w:style>
  <w:style w:type="table" w:styleId="PlainTable2" w:customStyle="1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PlainTable3" w:customStyle="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PlainTable4" w:customStyle="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PlainTable5" w:customStyle="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GridTable1Light" w:customStyle="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GridTable1Light-Accent2" w:customStyle="1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GridTable1Light-Accent3" w:customStyle="1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GridTable1Light-Accent4" w:customStyle="1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GridTable1Light-Accent5" w:customStyle="1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GridTable1Light-Accent6" w:customStyle="1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styleId="GridTable2" w:customStyle="1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2-Accent1" w:customStyle="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2-Accent2" w:customStyle="1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2-Accent3" w:customStyle="1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2-Accent4" w:customStyle="1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2-Accent5" w:customStyle="1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2-Accent6" w:customStyle="1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3" w:customStyle="1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3-Accent1" w:customStyle="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</w:style>
  <w:style w:type="table" w:styleId="GridTable3-Accent2" w:customStyle="1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3-Accent3" w:customStyle="1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3-Accent4" w:customStyle="1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3-Accent5" w:customStyle="1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3-Accent6" w:customStyle="1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4" w:customStyle="1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</w:style>
  <w:style w:type="table" w:styleId="GridTable4-Accent1" w:customStyle="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styleId="GridTable4-Accent2" w:customStyle="1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GridTable4-Accent3" w:customStyle="1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GridTable4-Accent4" w:customStyle="1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GridTable4-Accent5" w:customStyle="1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GridTable4-Accent6" w:customStyle="1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GridTable5Dark" w:customStyle="1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band1Horz">
      <w:tcPr>
        <w:shd w:val="clear" w:color="8a8a8a" w:themeColor="text1" w:themeTint="75" w:fill="8a8a8a" w:themeFill="text1" w:themeFillTint="75"/>
      </w:tcPr>
    </w:tblStylePr>
  </w:style>
  <w:style w:type="table" w:styleId="GridTable5Dark-Accent1" w:customStyle="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band1Horz">
      <w:tcPr>
        <w:shd w:val="clear" w:color="aec4e0" w:themeColor="accent1" w:themeTint="75" w:fill="aec4e0" w:themeFill="accent1" w:themeFillTint="75"/>
      </w:tcPr>
    </w:tblStylePr>
  </w:style>
  <w:style w:type="table" w:styleId="GridTable5Dark-Accent2" w:customStyle="1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styleId="GridTable5Dark-Accent3" w:customStyle="1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band1Horz">
      <w:tcPr>
        <w:shd w:val="clear" w:color="d0dfb2" w:themeColor="accent3" w:themeTint="75" w:fill="d0dfb2" w:themeFill="accent3" w:themeFillTint="75"/>
      </w:tcPr>
    </w:tblStylePr>
  </w:style>
  <w:style w:type="table" w:styleId="GridTable5Dark-Accent4" w:customStyle="1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styleId="GridTable5Dark-Accent5" w:customStyle="1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styleId="GridTable5Dark-Accent6" w:customStyle="1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styleId="GridTable6Colorful" w:customStyle="1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 w:customStyle="1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 w:customStyle="1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 w:customStyle="1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 w:customStyle="1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 w:customStyle="1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" w:customStyle="1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 w:customStyle="1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 w:customStyle="1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 w:customStyle="1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 w:customStyle="1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 w:customStyle="1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" w:customStyle="1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tcPr>
        <w:shd w:val="clear" w:color="bfbfbf" w:themeColor="text1" w:themeTint="40" w:fill="bfbfbf" w:themeFill="text1" w:themeFillTint="40"/>
      </w:tcPr>
    </w:tblStylePr>
  </w:style>
  <w:style w:type="table" w:styleId="ListTable1Light-Accent1" w:customStyle="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styleId="ListTable1Light-Accent2" w:customStyle="1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tcPr>
        <w:shd w:val="clear" w:color="efd2d2" w:themeColor="accent2" w:themeTint="40" w:fill="efd2d2" w:themeFill="accent2" w:themeFillTint="40"/>
      </w:tcPr>
    </w:tblStylePr>
  </w:style>
  <w:style w:type="table" w:styleId="ListTable1Light-Accent3" w:customStyle="1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tcPr>
        <w:shd w:val="clear" w:color="e5eed5" w:themeColor="accent3" w:themeTint="40" w:fill="e5eed5" w:themeFill="accent3" w:themeFillTint="40"/>
      </w:tcPr>
    </w:tblStylePr>
  </w:style>
  <w:style w:type="table" w:styleId="ListTable1Light-Accent4" w:customStyle="1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styleId="ListTable1Light-Accent5" w:customStyle="1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styleId="ListTable1Light-Accent6" w:customStyle="1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tcPr>
        <w:shd w:val="clear" w:color="fde4d0" w:themeColor="accent6" w:themeTint="40" w:fill="fde4d0" w:themeFill="accent6" w:themeFillTint="40"/>
      </w:tcPr>
    </w:tblStylePr>
  </w:style>
  <w:style w:type="table" w:styleId="ListTable2" w:customStyle="1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2-Accent1" w:customStyle="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2-Accent2" w:customStyle="1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2-Accent3" w:customStyle="1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2-Accent4" w:customStyle="1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2-Accent5" w:customStyle="1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2-Accent6" w:customStyle="1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ListTable3" w:customStyle="1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styleId="ListTable3-Accent2" w:customStyle="1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</w:style>
  <w:style w:type="table" w:styleId="ListTable3-Accent3" w:customStyle="1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</w:style>
  <w:style w:type="table" w:styleId="ListTable3-Accent4" w:customStyle="1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styleId="ListTable3-Accent5" w:customStyle="1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styleId="ListTable3-Accent6" w:customStyle="1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styleId="ListTable4" w:customStyle="1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</w:style>
  <w:style w:type="table" w:styleId="ListTable4-Accent1" w:customStyle="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styleId="ListTable4-Accent2" w:customStyle="1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</w:style>
  <w:style w:type="table" w:styleId="ListTable4-Accent3" w:customStyle="1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</w:style>
  <w:style w:type="table" w:styleId="ListTable4-Accent4" w:customStyle="1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styleId="ListTable4-Accent5" w:customStyle="1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styleId="ListTable4-Accent6" w:customStyle="1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</w:style>
  <w:style w:type="table" w:styleId="ListTable5Dark" w:customStyle="1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</w:style>
  <w:style w:type="table" w:styleId="ListTable5Dark-Accent1" w:customStyle="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styleId="ListTable5Dark-Accent2" w:customStyle="1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D99695" w:themeColor="accent2" w:themeTint="97" w:sz="32" w:space="0"/>
          <w:bottom w:val="single" w:color="FFFFFF" w:themeColor="light1" w:sz="12" w:space="0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 w:customStyle="1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3D69B" w:themeColor="accent3" w:themeTint="98" w:sz="32" w:space="0"/>
          <w:bottom w:val="single" w:color="FFFFFF" w:themeColor="light1" w:sz="12" w:space="0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 w:customStyle="1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 w:customStyle="1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 w:customStyle="1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styleId="ListTable6Colorful" w:customStyle="1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 w:customStyle="1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 w:customStyle="1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 w:customStyle="1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 w:customStyle="1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 w:customStyle="1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" w:customStyle="1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 w:customStyle="1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 w:customStyle="1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 w:customStyle="1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 w:customStyle="1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 w:customStyle="1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ned-Accent" w:customStyle="1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Lined-Accent1" w:customStyle="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Lined-Accent2" w:customStyle="1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Lined-Accent3" w:customStyle="1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Lined-Accent4" w:customStyle="1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Lined-Accent5" w:customStyle="1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Lined-Accent6" w:customStyle="1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Lined-Accent" w:customStyle="1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</w:style>
  <w:style w:type="table" w:styleId="BorderedLined-Accent1" w:customStyle="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styleId="BorderedLined-Accent2" w:customStyle="1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styleId="BorderedLined-Accent3" w:customStyle="1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</w:style>
  <w:style w:type="table" w:styleId="BorderedLined-Accent4" w:customStyle="1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styleId="BorderedLined-Accent5" w:customStyle="1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styleId="BorderedLined-Accent6" w:customStyle="1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</w:style>
  <w:style w:type="table" w:styleId="Bordered" w:customStyle="1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</w:style>
  <w:style w:type="table" w:styleId="Bordered-Accent2" w:customStyle="1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</w:style>
  <w:style w:type="table" w:styleId="Bordered-Accent3" w:customStyle="1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styleId="Bordered-Accent4" w:customStyle="1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styleId="Bordered-Accent5" w:customStyle="1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</w:style>
  <w:style w:type="table" w:styleId="Bordered-Accent6" w:customStyle="1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styleId="af2" w:customStyle="1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</w:style>
  <w:style w:type="character" w:styleId="af5" w:customStyle="1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styleId="af9">
    <w:name w:val="Hyperlink"/>
    <w:basedOn w:val="a0"/>
    <w:uiPriority w:val="99"/>
    <w:unhideWhenUsed/>
    <w:rPr>
      <w:color w:val="0563C1"/>
      <w:u w:val="single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styleId="afb" w:customStyle="1">
    <w:name w:val="Текст выноски Знак"/>
    <w:basedOn w:val="a0"/>
    <w:link w:val="afa"/>
    <w:uiPriority w:val="99"/>
    <w:semiHidden/>
    <w:rPr>
      <w:rFonts w:ascii="Tahoma" w:hAnsi="Tahoma" w:cs="Tahoma" w:eastAsia="Times New Roman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disk.yandex.ru/d/fys7HV6DFjj-Bw" TargetMode="External"/><Relationship Id="rId10" Type="http://schemas.openxmlformats.org/officeDocument/2006/relationships/hyperlink" Target="https://drive.rtlabs.ru/d/s/nzFM4REceNS9TjRb8vLNbXI5szHHLUas/IMbyUrAaduS1vgtsYVDwzL4J00ceJHBV-3L_A1ywWZw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Р7-Офис/7.1.1.35</Application>
  <Characters>6810</Characters>
  <CharactersWithSpaces>7989</CharactersWithSpaces>
  <Company/>
  <DocSecurity>0</DocSecurity>
  <HyperlinksChanged>false</HyperlinksChanged>
  <Lines>56</Lines>
  <LinksUpToDate>false</LinksUpToDate>
  <Pages>3</Pages>
  <Paragraphs>15</Paragraphs>
  <ScaleCrop>false</ScaleCrop>
  <SharedDoc>false</SharedDoc>
  <Template>Normal.dotm</Template>
  <TotalTime>0</TotalTime>
  <Words>1194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Анжелика Владимировна Полосина</dc:creator>
  <cp:keywords/>
  <dc:description/>
  <cp:lastModifiedBy>документооборот Directum</cp:lastModifiedBy>
  <cp:revision>32</cp:revision>
  <dcterms:created xsi:type="dcterms:W3CDTF">2021-08-02T08:31:00Z</dcterms:created>
  <dcterms:modified xsi:type="dcterms:W3CDTF">2023-01-25T05:11:00Z</dcterms:modified>
</cp:coreProperties>
</file>